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2805" w:rsidRDefault="00C12805" w:rsidP="00C12805">
      <w:pPr>
        <w:spacing w:after="0"/>
        <w:jc w:val="center"/>
        <w:rPr>
          <w:b/>
          <w:bCs/>
          <w:sz w:val="28"/>
          <w:szCs w:val="28"/>
        </w:rPr>
      </w:pPr>
      <w:bookmarkStart w:id="0" w:name="_GoBack"/>
      <w:bookmarkEnd w:id="0"/>
    </w:p>
    <w:p w:rsidR="006E516C" w:rsidRDefault="006E516C" w:rsidP="00C12805">
      <w:pPr>
        <w:spacing w:after="0"/>
        <w:jc w:val="center"/>
        <w:rPr>
          <w:b/>
          <w:bCs/>
          <w:sz w:val="28"/>
          <w:szCs w:val="28"/>
        </w:rPr>
      </w:pPr>
      <w:r w:rsidRPr="00125884">
        <w:rPr>
          <w:b/>
          <w:bCs/>
          <w:sz w:val="28"/>
          <w:szCs w:val="28"/>
        </w:rPr>
        <w:t>Pupil Premium</w:t>
      </w:r>
      <w:r>
        <w:rPr>
          <w:b/>
          <w:bCs/>
          <w:sz w:val="28"/>
          <w:szCs w:val="28"/>
        </w:rPr>
        <w:t xml:space="preserve"> Information</w:t>
      </w:r>
      <w:r w:rsidR="00443DD3" w:rsidRPr="00443DD3">
        <w:rPr>
          <w:b/>
          <w:bCs/>
          <w:sz w:val="28"/>
          <w:szCs w:val="28"/>
        </w:rPr>
        <w:drawing>
          <wp:anchor distT="0" distB="0" distL="114300" distR="114300" simplePos="0" relativeHeight="251659264" behindDoc="1" locked="0" layoutInCell="1" allowOverlap="1">
            <wp:simplePos x="0" y="0"/>
            <wp:positionH relativeFrom="column">
              <wp:posOffset>5907405</wp:posOffset>
            </wp:positionH>
            <wp:positionV relativeFrom="paragraph">
              <wp:posOffset>-95250</wp:posOffset>
            </wp:positionV>
            <wp:extent cx="438150" cy="619125"/>
            <wp:effectExtent l="19050" t="0" r="0" b="0"/>
            <wp:wrapNone/>
            <wp:docPr id="1" name="Picture 0" descr="B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jpg"/>
                    <pic:cNvPicPr/>
                  </pic:nvPicPr>
                  <pic:blipFill>
                    <a:blip r:embed="rId5"/>
                    <a:stretch>
                      <a:fillRect/>
                    </a:stretch>
                  </pic:blipFill>
                  <pic:spPr>
                    <a:xfrm>
                      <a:off x="0" y="0"/>
                      <a:ext cx="438150" cy="619125"/>
                    </a:xfrm>
                    <a:prstGeom prst="rect">
                      <a:avLst/>
                    </a:prstGeom>
                  </pic:spPr>
                </pic:pic>
              </a:graphicData>
            </a:graphic>
          </wp:anchor>
        </w:drawing>
      </w:r>
    </w:p>
    <w:p w:rsidR="00C12805" w:rsidRPr="00125884" w:rsidRDefault="00C12805" w:rsidP="00C12805">
      <w:pPr>
        <w:spacing w:after="0"/>
        <w:jc w:val="center"/>
        <w:rPr>
          <w:b/>
          <w:bCs/>
          <w:sz w:val="28"/>
          <w:szCs w:val="28"/>
        </w:rPr>
      </w:pPr>
      <w:r>
        <w:rPr>
          <w:b/>
          <w:bCs/>
          <w:sz w:val="28"/>
          <w:szCs w:val="28"/>
        </w:rPr>
        <w:t>2016-2017</w:t>
      </w:r>
    </w:p>
    <w:p w:rsidR="00C12805" w:rsidRDefault="00C12805" w:rsidP="00C12805">
      <w:pPr>
        <w:spacing w:after="0"/>
        <w:rPr>
          <w:sz w:val="24"/>
          <w:szCs w:val="24"/>
        </w:rPr>
      </w:pPr>
    </w:p>
    <w:p w:rsidR="006E516C" w:rsidRPr="00125884" w:rsidRDefault="006E516C" w:rsidP="00C12805">
      <w:pPr>
        <w:spacing w:after="0"/>
        <w:rPr>
          <w:sz w:val="24"/>
          <w:szCs w:val="24"/>
        </w:rPr>
      </w:pPr>
      <w:r w:rsidRPr="00125884">
        <w:rPr>
          <w:sz w:val="24"/>
          <w:szCs w:val="24"/>
        </w:rPr>
        <w:t>Schools receive a payment, or Pupil Premium (PP), for each child who is registered for free school meals (FSM), children who have been eligible for FSM at any point in the last six years (Ever6) and those who have been in continuous care for six months or more (CLA). The grant for the academic year 2015-2016 was £935 for FSM and Ever6 students and £1,500 for students identified as CLA. Schools also received £300 (2011-2012) for student whose parents are serving in the armed forces.</w:t>
      </w:r>
    </w:p>
    <w:p w:rsidR="006E516C" w:rsidRPr="00125884" w:rsidRDefault="006E516C">
      <w:pPr>
        <w:rPr>
          <w:sz w:val="24"/>
          <w:szCs w:val="24"/>
        </w:rPr>
      </w:pPr>
      <w:r w:rsidRPr="00125884">
        <w:rPr>
          <w:sz w:val="24"/>
          <w:szCs w:val="24"/>
        </w:rPr>
        <w:t>The % of pupils in the school who are receiving free school meals, have received free school meals in one or more of the previous 6 years, or are a child looked after, or a child from a service personnel:</w:t>
      </w:r>
    </w:p>
    <w:tbl>
      <w:tblPr>
        <w:tblW w:w="10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532"/>
        <w:gridCol w:w="1843"/>
        <w:gridCol w:w="2784"/>
        <w:gridCol w:w="2617"/>
        <w:gridCol w:w="1686"/>
      </w:tblGrid>
      <w:tr w:rsidR="006E516C" w:rsidRPr="00125884" w:rsidTr="00034E7D">
        <w:trPr>
          <w:jc w:val="center"/>
        </w:trPr>
        <w:tc>
          <w:tcPr>
            <w:tcW w:w="1532" w:type="dxa"/>
            <w:vAlign w:val="center"/>
          </w:tcPr>
          <w:p w:rsidR="006E516C" w:rsidRPr="009C335C" w:rsidRDefault="006E516C" w:rsidP="009C335C">
            <w:pPr>
              <w:spacing w:after="0" w:line="240" w:lineRule="auto"/>
              <w:jc w:val="center"/>
              <w:rPr>
                <w:sz w:val="24"/>
                <w:szCs w:val="24"/>
              </w:rPr>
            </w:pPr>
            <w:r w:rsidRPr="009C335C">
              <w:rPr>
                <w:sz w:val="24"/>
                <w:szCs w:val="24"/>
              </w:rPr>
              <w:t>Academic Year</w:t>
            </w:r>
          </w:p>
        </w:tc>
        <w:tc>
          <w:tcPr>
            <w:tcW w:w="1843" w:type="dxa"/>
            <w:vAlign w:val="center"/>
          </w:tcPr>
          <w:p w:rsidR="006E516C" w:rsidRPr="009C335C" w:rsidRDefault="006E516C" w:rsidP="009C335C">
            <w:pPr>
              <w:spacing w:after="0" w:line="240" w:lineRule="auto"/>
              <w:jc w:val="center"/>
              <w:rPr>
                <w:sz w:val="24"/>
                <w:szCs w:val="24"/>
              </w:rPr>
            </w:pPr>
            <w:r w:rsidRPr="009C335C">
              <w:rPr>
                <w:sz w:val="24"/>
                <w:szCs w:val="24"/>
              </w:rPr>
              <w:t>Number of students on roll</w:t>
            </w:r>
          </w:p>
        </w:tc>
        <w:tc>
          <w:tcPr>
            <w:tcW w:w="2784" w:type="dxa"/>
            <w:vAlign w:val="center"/>
          </w:tcPr>
          <w:p w:rsidR="006E516C" w:rsidRPr="009C335C" w:rsidRDefault="006E516C" w:rsidP="009C335C">
            <w:pPr>
              <w:spacing w:after="0" w:line="240" w:lineRule="auto"/>
              <w:jc w:val="center"/>
              <w:rPr>
                <w:sz w:val="24"/>
                <w:szCs w:val="24"/>
              </w:rPr>
            </w:pPr>
            <w:r w:rsidRPr="009C335C">
              <w:rPr>
                <w:sz w:val="24"/>
                <w:szCs w:val="24"/>
              </w:rPr>
              <w:t>Number of Secondary pupils eligible Pupil Premium</w:t>
            </w:r>
          </w:p>
        </w:tc>
        <w:tc>
          <w:tcPr>
            <w:tcW w:w="2617" w:type="dxa"/>
            <w:vAlign w:val="center"/>
          </w:tcPr>
          <w:p w:rsidR="006E516C" w:rsidRPr="009C335C" w:rsidRDefault="006E516C" w:rsidP="009C335C">
            <w:pPr>
              <w:spacing w:after="0" w:line="240" w:lineRule="auto"/>
              <w:jc w:val="center"/>
              <w:rPr>
                <w:sz w:val="24"/>
                <w:szCs w:val="24"/>
              </w:rPr>
            </w:pPr>
            <w:r w:rsidRPr="009C335C">
              <w:rPr>
                <w:sz w:val="24"/>
                <w:szCs w:val="24"/>
              </w:rPr>
              <w:t>Percentage of Secondary pupils eligible for Pupil Premium</w:t>
            </w:r>
          </w:p>
        </w:tc>
        <w:tc>
          <w:tcPr>
            <w:tcW w:w="1686" w:type="dxa"/>
            <w:vAlign w:val="center"/>
          </w:tcPr>
          <w:p w:rsidR="006E516C" w:rsidRPr="009C335C" w:rsidRDefault="006E516C" w:rsidP="009C335C">
            <w:pPr>
              <w:spacing w:after="0" w:line="240" w:lineRule="auto"/>
              <w:jc w:val="center"/>
              <w:rPr>
                <w:sz w:val="24"/>
                <w:szCs w:val="24"/>
              </w:rPr>
            </w:pPr>
            <w:r w:rsidRPr="009C335C">
              <w:rPr>
                <w:sz w:val="24"/>
                <w:szCs w:val="24"/>
              </w:rPr>
              <w:t>Pupil Premium Allocation</w:t>
            </w:r>
          </w:p>
        </w:tc>
      </w:tr>
      <w:tr w:rsidR="006E516C" w:rsidRPr="00125884" w:rsidTr="00034E7D">
        <w:trPr>
          <w:trHeight w:val="454"/>
          <w:jc w:val="center"/>
        </w:trPr>
        <w:tc>
          <w:tcPr>
            <w:tcW w:w="1532" w:type="dxa"/>
            <w:vAlign w:val="center"/>
          </w:tcPr>
          <w:p w:rsidR="006E516C" w:rsidRPr="009C335C" w:rsidRDefault="006E516C" w:rsidP="009C335C">
            <w:pPr>
              <w:spacing w:after="0" w:line="240" w:lineRule="auto"/>
              <w:jc w:val="center"/>
              <w:rPr>
                <w:sz w:val="24"/>
                <w:szCs w:val="24"/>
              </w:rPr>
            </w:pPr>
            <w:r w:rsidRPr="009C335C">
              <w:rPr>
                <w:sz w:val="24"/>
                <w:szCs w:val="24"/>
              </w:rPr>
              <w:t>2015-2016</w:t>
            </w:r>
          </w:p>
        </w:tc>
        <w:tc>
          <w:tcPr>
            <w:tcW w:w="1843" w:type="dxa"/>
            <w:vAlign w:val="center"/>
          </w:tcPr>
          <w:p w:rsidR="006E516C" w:rsidRPr="009C335C" w:rsidRDefault="006E516C" w:rsidP="009C335C">
            <w:pPr>
              <w:spacing w:after="0" w:line="240" w:lineRule="auto"/>
              <w:jc w:val="center"/>
              <w:rPr>
                <w:sz w:val="24"/>
                <w:szCs w:val="24"/>
              </w:rPr>
            </w:pPr>
            <w:r w:rsidRPr="009C335C">
              <w:rPr>
                <w:sz w:val="24"/>
                <w:szCs w:val="24"/>
              </w:rPr>
              <w:t>1064</w:t>
            </w:r>
          </w:p>
        </w:tc>
        <w:tc>
          <w:tcPr>
            <w:tcW w:w="2784" w:type="dxa"/>
            <w:vAlign w:val="center"/>
          </w:tcPr>
          <w:p w:rsidR="006E516C" w:rsidRPr="009C335C" w:rsidRDefault="006E516C" w:rsidP="009C335C">
            <w:pPr>
              <w:spacing w:after="0" w:line="240" w:lineRule="auto"/>
              <w:jc w:val="center"/>
              <w:rPr>
                <w:sz w:val="24"/>
                <w:szCs w:val="24"/>
              </w:rPr>
            </w:pPr>
            <w:r w:rsidRPr="009C335C">
              <w:rPr>
                <w:sz w:val="24"/>
                <w:szCs w:val="24"/>
              </w:rPr>
              <w:t>188</w:t>
            </w:r>
          </w:p>
        </w:tc>
        <w:tc>
          <w:tcPr>
            <w:tcW w:w="2617" w:type="dxa"/>
            <w:vAlign w:val="center"/>
          </w:tcPr>
          <w:p w:rsidR="006E516C" w:rsidRPr="009C335C" w:rsidRDefault="006E516C" w:rsidP="009C335C">
            <w:pPr>
              <w:spacing w:after="0" w:line="240" w:lineRule="auto"/>
              <w:jc w:val="center"/>
              <w:rPr>
                <w:sz w:val="24"/>
                <w:szCs w:val="24"/>
              </w:rPr>
            </w:pPr>
            <w:r w:rsidRPr="009C335C">
              <w:rPr>
                <w:sz w:val="24"/>
                <w:szCs w:val="24"/>
              </w:rPr>
              <w:t>17.7%</w:t>
            </w:r>
          </w:p>
        </w:tc>
        <w:tc>
          <w:tcPr>
            <w:tcW w:w="1686" w:type="dxa"/>
            <w:vAlign w:val="center"/>
          </w:tcPr>
          <w:p w:rsidR="006E516C" w:rsidRPr="009C335C" w:rsidRDefault="000D27C6" w:rsidP="009C335C">
            <w:pPr>
              <w:spacing w:after="0" w:line="240" w:lineRule="auto"/>
              <w:jc w:val="center"/>
              <w:rPr>
                <w:b/>
                <w:bCs/>
                <w:sz w:val="24"/>
                <w:szCs w:val="24"/>
              </w:rPr>
            </w:pPr>
            <w:r>
              <w:rPr>
                <w:b/>
                <w:bCs/>
                <w:sz w:val="24"/>
                <w:szCs w:val="24"/>
              </w:rPr>
              <w:t>£178,552</w:t>
            </w:r>
          </w:p>
        </w:tc>
      </w:tr>
      <w:tr w:rsidR="006E516C" w:rsidRPr="00125884" w:rsidTr="00034E7D">
        <w:trPr>
          <w:trHeight w:val="454"/>
          <w:jc w:val="center"/>
        </w:trPr>
        <w:tc>
          <w:tcPr>
            <w:tcW w:w="1532" w:type="dxa"/>
            <w:vAlign w:val="center"/>
          </w:tcPr>
          <w:p w:rsidR="006E516C" w:rsidRPr="009C335C" w:rsidRDefault="006E516C" w:rsidP="009C335C">
            <w:pPr>
              <w:spacing w:after="0" w:line="240" w:lineRule="auto"/>
              <w:jc w:val="center"/>
              <w:rPr>
                <w:sz w:val="24"/>
                <w:szCs w:val="24"/>
              </w:rPr>
            </w:pPr>
            <w:r w:rsidRPr="009C335C">
              <w:rPr>
                <w:sz w:val="24"/>
                <w:szCs w:val="24"/>
              </w:rPr>
              <w:t>2016-2017</w:t>
            </w:r>
          </w:p>
        </w:tc>
        <w:tc>
          <w:tcPr>
            <w:tcW w:w="1843" w:type="dxa"/>
            <w:vAlign w:val="center"/>
          </w:tcPr>
          <w:p w:rsidR="006E516C" w:rsidRPr="009C335C" w:rsidRDefault="006E516C" w:rsidP="009C335C">
            <w:pPr>
              <w:spacing w:after="0" w:line="240" w:lineRule="auto"/>
              <w:jc w:val="center"/>
              <w:rPr>
                <w:sz w:val="24"/>
                <w:szCs w:val="24"/>
              </w:rPr>
            </w:pPr>
            <w:r w:rsidRPr="009C335C">
              <w:rPr>
                <w:sz w:val="24"/>
                <w:szCs w:val="24"/>
              </w:rPr>
              <w:t>1126</w:t>
            </w:r>
          </w:p>
        </w:tc>
        <w:tc>
          <w:tcPr>
            <w:tcW w:w="2784" w:type="dxa"/>
            <w:vAlign w:val="center"/>
          </w:tcPr>
          <w:p w:rsidR="006E516C" w:rsidRPr="009C335C" w:rsidRDefault="006E516C" w:rsidP="009C335C">
            <w:pPr>
              <w:spacing w:after="0" w:line="240" w:lineRule="auto"/>
              <w:jc w:val="center"/>
              <w:rPr>
                <w:sz w:val="24"/>
                <w:szCs w:val="24"/>
              </w:rPr>
            </w:pPr>
            <w:r w:rsidRPr="009C335C">
              <w:rPr>
                <w:sz w:val="24"/>
                <w:szCs w:val="24"/>
              </w:rPr>
              <w:t>209</w:t>
            </w:r>
          </w:p>
        </w:tc>
        <w:tc>
          <w:tcPr>
            <w:tcW w:w="2617" w:type="dxa"/>
            <w:vAlign w:val="center"/>
          </w:tcPr>
          <w:p w:rsidR="006E516C" w:rsidRPr="009C335C" w:rsidRDefault="006E516C" w:rsidP="009C335C">
            <w:pPr>
              <w:spacing w:after="0" w:line="240" w:lineRule="auto"/>
              <w:jc w:val="center"/>
              <w:rPr>
                <w:sz w:val="24"/>
                <w:szCs w:val="24"/>
              </w:rPr>
            </w:pPr>
            <w:r w:rsidRPr="009C335C">
              <w:rPr>
                <w:sz w:val="24"/>
                <w:szCs w:val="24"/>
              </w:rPr>
              <w:t>18.6%</w:t>
            </w:r>
          </w:p>
        </w:tc>
        <w:tc>
          <w:tcPr>
            <w:tcW w:w="1686" w:type="dxa"/>
            <w:vAlign w:val="center"/>
          </w:tcPr>
          <w:p w:rsidR="006E516C" w:rsidRPr="009C335C" w:rsidRDefault="000D27C6" w:rsidP="009C335C">
            <w:pPr>
              <w:spacing w:after="0" w:line="240" w:lineRule="auto"/>
              <w:jc w:val="center"/>
              <w:rPr>
                <w:b/>
                <w:bCs/>
                <w:sz w:val="24"/>
                <w:szCs w:val="24"/>
              </w:rPr>
            </w:pPr>
            <w:r>
              <w:rPr>
                <w:b/>
                <w:bCs/>
                <w:sz w:val="24"/>
                <w:szCs w:val="24"/>
              </w:rPr>
              <w:t>£176,000 * Estimated</w:t>
            </w:r>
          </w:p>
        </w:tc>
      </w:tr>
    </w:tbl>
    <w:p w:rsidR="006E516C" w:rsidRPr="00125884" w:rsidRDefault="006E516C" w:rsidP="00125884">
      <w:pPr>
        <w:pStyle w:val="NoSpacing"/>
        <w:rPr>
          <w:sz w:val="24"/>
          <w:szCs w:val="24"/>
        </w:rPr>
      </w:pPr>
    </w:p>
    <w:p w:rsidR="006E516C" w:rsidRPr="00125884" w:rsidRDefault="006E516C">
      <w:pPr>
        <w:rPr>
          <w:sz w:val="24"/>
          <w:szCs w:val="24"/>
        </w:rPr>
      </w:pPr>
      <w:r w:rsidRPr="00125884">
        <w:rPr>
          <w:sz w:val="24"/>
          <w:szCs w:val="24"/>
        </w:rPr>
        <w:t xml:space="preserve">Schools, </w:t>
      </w:r>
      <w:proofErr w:type="spellStart"/>
      <w:r w:rsidRPr="00125884">
        <w:rPr>
          <w:sz w:val="24"/>
          <w:szCs w:val="24"/>
        </w:rPr>
        <w:t>headteachers</w:t>
      </w:r>
      <w:proofErr w:type="spellEnd"/>
      <w:r w:rsidRPr="00125884">
        <w:rPr>
          <w:sz w:val="24"/>
          <w:szCs w:val="24"/>
        </w:rPr>
        <w:t xml:space="preserve"> and teachers will decide how to use the Pupil Premium allocation, as they are best placed to assess what additional provision should be made for individual pupils. It is for schools to decide how the Pupil Premium, allocated to schools per FSM pupil, is spent, since they are best placed to assess what additional provision should be made for the individual pupils within their responsibility.</w:t>
      </w:r>
      <w:r w:rsidRPr="00125884">
        <w:rPr>
          <w:rFonts w:ascii="MS Gothic" w:eastAsia="MS Gothic" w:hAnsi="MS Gothic" w:cs="MS Gothic" w:hint="eastAsia"/>
          <w:sz w:val="24"/>
          <w:szCs w:val="24"/>
        </w:rPr>
        <w:t xml:space="preserve">　</w:t>
      </w:r>
    </w:p>
    <w:p w:rsidR="006E516C" w:rsidRPr="00125884" w:rsidRDefault="006E516C">
      <w:pPr>
        <w:rPr>
          <w:sz w:val="24"/>
          <w:szCs w:val="24"/>
        </w:rPr>
      </w:pPr>
      <w:r w:rsidRPr="00125884">
        <w:rPr>
          <w:sz w:val="24"/>
          <w:szCs w:val="24"/>
        </w:rPr>
        <w:t xml:space="preserve">At </w:t>
      </w:r>
      <w:proofErr w:type="spellStart"/>
      <w:r w:rsidRPr="00125884">
        <w:rPr>
          <w:sz w:val="24"/>
          <w:szCs w:val="24"/>
        </w:rPr>
        <w:t>Bushey</w:t>
      </w:r>
      <w:proofErr w:type="spellEnd"/>
      <w:r w:rsidRPr="00125884">
        <w:rPr>
          <w:sz w:val="24"/>
          <w:szCs w:val="24"/>
        </w:rPr>
        <w:t xml:space="preserve"> Meads School, we recognise the need to target and support pupils from low income homes since poverty is the single most important factor in predicting a child's future life chances. To this end the Pupil Premium is used to: </w:t>
      </w:r>
    </w:p>
    <w:p w:rsidR="006E516C" w:rsidRPr="00125884" w:rsidRDefault="006E516C" w:rsidP="00125884">
      <w:pPr>
        <w:pStyle w:val="ListParagraph"/>
        <w:numPr>
          <w:ilvl w:val="0"/>
          <w:numId w:val="2"/>
        </w:numPr>
        <w:spacing w:after="0"/>
        <w:rPr>
          <w:sz w:val="24"/>
          <w:szCs w:val="24"/>
        </w:rPr>
      </w:pPr>
      <w:r w:rsidRPr="00125884">
        <w:rPr>
          <w:sz w:val="24"/>
          <w:szCs w:val="24"/>
        </w:rPr>
        <w:t>Personalise the timetable to ensure that each pupil follows an appropriate curriculum such as the Princes Trust.</w:t>
      </w:r>
    </w:p>
    <w:p w:rsidR="006E516C" w:rsidRPr="00125884" w:rsidRDefault="006E516C" w:rsidP="00125884">
      <w:pPr>
        <w:pStyle w:val="ListParagraph"/>
        <w:numPr>
          <w:ilvl w:val="0"/>
          <w:numId w:val="2"/>
        </w:numPr>
        <w:spacing w:after="0"/>
        <w:rPr>
          <w:sz w:val="24"/>
          <w:szCs w:val="24"/>
        </w:rPr>
      </w:pPr>
      <w:r w:rsidRPr="00125884">
        <w:rPr>
          <w:sz w:val="24"/>
          <w:szCs w:val="24"/>
        </w:rPr>
        <w:t>Provide literacy and numeracy support to enable all pupils to access the curriculum.</w:t>
      </w:r>
    </w:p>
    <w:p w:rsidR="006E516C" w:rsidRPr="00125884" w:rsidRDefault="006E516C" w:rsidP="00125884">
      <w:pPr>
        <w:pStyle w:val="ListParagraph"/>
        <w:numPr>
          <w:ilvl w:val="0"/>
          <w:numId w:val="2"/>
        </w:numPr>
        <w:spacing w:after="0"/>
        <w:rPr>
          <w:sz w:val="24"/>
          <w:szCs w:val="24"/>
        </w:rPr>
      </w:pPr>
      <w:r w:rsidRPr="00125884">
        <w:rPr>
          <w:sz w:val="24"/>
          <w:szCs w:val="24"/>
        </w:rPr>
        <w:t>Provide a counsellor to support the emotional needs of PP/CLA students.</w:t>
      </w:r>
    </w:p>
    <w:p w:rsidR="006E516C" w:rsidRPr="00125884" w:rsidRDefault="006E516C" w:rsidP="00125884">
      <w:pPr>
        <w:pStyle w:val="ListParagraph"/>
        <w:numPr>
          <w:ilvl w:val="0"/>
          <w:numId w:val="2"/>
        </w:numPr>
        <w:spacing w:after="0"/>
        <w:rPr>
          <w:sz w:val="24"/>
          <w:szCs w:val="24"/>
        </w:rPr>
      </w:pPr>
      <w:r w:rsidRPr="00125884">
        <w:rPr>
          <w:sz w:val="24"/>
          <w:szCs w:val="24"/>
        </w:rPr>
        <w:t>Provide learning resources for students to ensure they are able to maximise the learning opportunities.</w:t>
      </w:r>
    </w:p>
    <w:p w:rsidR="006E516C" w:rsidRPr="00125884" w:rsidRDefault="006E516C" w:rsidP="00125884">
      <w:pPr>
        <w:pStyle w:val="ListParagraph"/>
        <w:numPr>
          <w:ilvl w:val="0"/>
          <w:numId w:val="2"/>
        </w:numPr>
        <w:spacing w:after="0"/>
        <w:rPr>
          <w:sz w:val="24"/>
          <w:szCs w:val="24"/>
        </w:rPr>
      </w:pPr>
      <w:r w:rsidRPr="00125884">
        <w:rPr>
          <w:sz w:val="24"/>
          <w:szCs w:val="24"/>
        </w:rPr>
        <w:t xml:space="preserve">Run intervention sessions which address the academic, social, emotional and behavioural needs of pupils, including concerns that prevent any PP/CLA pupil from using appropriate learning behaviour in mainstream lessons. </w:t>
      </w:r>
    </w:p>
    <w:p w:rsidR="006E516C" w:rsidRPr="00125884" w:rsidRDefault="006E516C" w:rsidP="00125884">
      <w:pPr>
        <w:pStyle w:val="ListParagraph"/>
        <w:numPr>
          <w:ilvl w:val="0"/>
          <w:numId w:val="2"/>
        </w:numPr>
        <w:spacing w:after="0"/>
        <w:rPr>
          <w:sz w:val="24"/>
          <w:szCs w:val="24"/>
        </w:rPr>
      </w:pPr>
      <w:r w:rsidRPr="00125884">
        <w:rPr>
          <w:sz w:val="24"/>
          <w:szCs w:val="24"/>
        </w:rPr>
        <w:t>Have an extended school day so resources and support are available before and after school, ensuring that all FSM/CLA pupils can access computers and other resources that may not be available at home.</w:t>
      </w:r>
    </w:p>
    <w:p w:rsidR="006E516C" w:rsidRPr="00125884" w:rsidRDefault="006E516C" w:rsidP="00125884">
      <w:pPr>
        <w:pStyle w:val="ListParagraph"/>
        <w:numPr>
          <w:ilvl w:val="0"/>
          <w:numId w:val="2"/>
        </w:numPr>
        <w:spacing w:after="0"/>
        <w:rPr>
          <w:sz w:val="24"/>
          <w:szCs w:val="24"/>
        </w:rPr>
      </w:pPr>
      <w:r w:rsidRPr="00125884">
        <w:rPr>
          <w:sz w:val="24"/>
          <w:szCs w:val="24"/>
        </w:rPr>
        <w:t>Provide support for pupils at lunchtime and after school to enhance the quality of their class work and their homework ensuring that there is always a supervised space for FSM/CLA pupils to work.</w:t>
      </w:r>
    </w:p>
    <w:p w:rsidR="006E516C" w:rsidRPr="00125884" w:rsidRDefault="006E516C" w:rsidP="00125884">
      <w:pPr>
        <w:pStyle w:val="ListParagraph"/>
        <w:numPr>
          <w:ilvl w:val="0"/>
          <w:numId w:val="2"/>
        </w:numPr>
        <w:spacing w:after="0"/>
        <w:rPr>
          <w:sz w:val="24"/>
          <w:szCs w:val="24"/>
        </w:rPr>
      </w:pPr>
      <w:r w:rsidRPr="00125884">
        <w:rPr>
          <w:sz w:val="24"/>
          <w:szCs w:val="24"/>
        </w:rPr>
        <w:t>Ensuring pupils are able to access appropriate resources and opportunities, including contributing to the costs of school trips for FSM/CLA pupils if feasible and considered appropriate by the school.</w:t>
      </w:r>
    </w:p>
    <w:p w:rsidR="006E516C" w:rsidRPr="00125884" w:rsidRDefault="006E516C">
      <w:pPr>
        <w:spacing w:after="0"/>
      </w:pPr>
    </w:p>
    <w:p w:rsidR="006E516C" w:rsidRDefault="006E516C">
      <w:pPr>
        <w:spacing w:after="0"/>
        <w:rPr>
          <w:b/>
          <w:bCs/>
        </w:rPr>
      </w:pPr>
    </w:p>
    <w:p w:rsidR="006E516C" w:rsidRDefault="006E516C">
      <w:pPr>
        <w:spacing w:after="0"/>
        <w:rPr>
          <w:b/>
          <w:bCs/>
        </w:rPr>
      </w:pPr>
    </w:p>
    <w:p w:rsidR="006E516C" w:rsidRDefault="006E516C">
      <w:pPr>
        <w:spacing w:after="0"/>
        <w:rPr>
          <w:b/>
          <w:bCs/>
        </w:rPr>
      </w:pPr>
    </w:p>
    <w:p w:rsidR="006E516C" w:rsidRDefault="006E516C">
      <w:pPr>
        <w:spacing w:after="0"/>
        <w:rPr>
          <w:b/>
          <w:bCs/>
        </w:rPr>
      </w:pPr>
    </w:p>
    <w:p w:rsidR="006E516C" w:rsidRDefault="006E516C">
      <w:pPr>
        <w:spacing w:after="0"/>
        <w:rPr>
          <w:b/>
          <w:bCs/>
        </w:rPr>
      </w:pPr>
    </w:p>
    <w:p w:rsidR="006E516C" w:rsidRDefault="006E516C">
      <w:pPr>
        <w:spacing w:after="0"/>
        <w:rPr>
          <w:b/>
          <w:bCs/>
          <w:sz w:val="24"/>
          <w:szCs w:val="24"/>
        </w:rPr>
      </w:pPr>
      <w:r w:rsidRPr="00125884">
        <w:rPr>
          <w:b/>
          <w:bCs/>
          <w:sz w:val="24"/>
          <w:szCs w:val="24"/>
        </w:rPr>
        <w:t>Trends in narrowing the in school gap 2014-2016</w:t>
      </w:r>
    </w:p>
    <w:p w:rsidR="006E516C" w:rsidRPr="00125884" w:rsidRDefault="006E516C">
      <w:pPr>
        <w:spacing w:after="0"/>
        <w:rPr>
          <w:sz w:val="12"/>
          <w:szCs w:val="12"/>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846"/>
        <w:gridCol w:w="1009"/>
        <w:gridCol w:w="1140"/>
        <w:gridCol w:w="1140"/>
        <w:gridCol w:w="1140"/>
        <w:gridCol w:w="1140"/>
        <w:gridCol w:w="1245"/>
      </w:tblGrid>
      <w:tr w:rsidR="006E516C" w:rsidRPr="00125884" w:rsidTr="00C12805">
        <w:trPr>
          <w:jc w:val="center"/>
        </w:trPr>
        <w:tc>
          <w:tcPr>
            <w:tcW w:w="2846" w:type="dxa"/>
          </w:tcPr>
          <w:p w:rsidR="006E516C" w:rsidRPr="009C335C" w:rsidRDefault="006E516C" w:rsidP="009C335C">
            <w:pPr>
              <w:spacing w:after="0" w:line="240" w:lineRule="auto"/>
              <w:rPr>
                <w:b/>
                <w:bCs/>
                <w:sz w:val="24"/>
                <w:szCs w:val="24"/>
              </w:rPr>
            </w:pPr>
          </w:p>
        </w:tc>
        <w:tc>
          <w:tcPr>
            <w:tcW w:w="1009" w:type="dxa"/>
          </w:tcPr>
          <w:p w:rsidR="006E516C" w:rsidRPr="00C12805" w:rsidRDefault="006E516C" w:rsidP="009C335C">
            <w:pPr>
              <w:spacing w:after="0" w:line="240" w:lineRule="auto"/>
              <w:jc w:val="center"/>
              <w:rPr>
                <w:b/>
                <w:bCs/>
                <w:szCs w:val="24"/>
              </w:rPr>
            </w:pPr>
            <w:r w:rsidRPr="00C12805">
              <w:rPr>
                <w:b/>
                <w:bCs/>
                <w:szCs w:val="24"/>
              </w:rPr>
              <w:t>2014</w:t>
            </w:r>
          </w:p>
          <w:p w:rsidR="006E516C" w:rsidRPr="00C12805" w:rsidRDefault="006E516C" w:rsidP="009C335C">
            <w:pPr>
              <w:spacing w:after="0" w:line="240" w:lineRule="auto"/>
              <w:jc w:val="center"/>
              <w:rPr>
                <w:b/>
                <w:bCs/>
                <w:szCs w:val="24"/>
              </w:rPr>
            </w:pPr>
            <w:r w:rsidRPr="00C12805">
              <w:rPr>
                <w:b/>
                <w:bCs/>
                <w:szCs w:val="24"/>
              </w:rPr>
              <w:t>Whole School</w:t>
            </w:r>
          </w:p>
        </w:tc>
        <w:tc>
          <w:tcPr>
            <w:tcW w:w="1140" w:type="dxa"/>
          </w:tcPr>
          <w:p w:rsidR="006E516C" w:rsidRPr="00C12805" w:rsidRDefault="006E516C" w:rsidP="009C335C">
            <w:pPr>
              <w:spacing w:after="0" w:line="240" w:lineRule="auto"/>
              <w:jc w:val="center"/>
              <w:rPr>
                <w:b/>
                <w:bCs/>
                <w:szCs w:val="24"/>
              </w:rPr>
            </w:pPr>
            <w:r w:rsidRPr="00C12805">
              <w:rPr>
                <w:b/>
                <w:bCs/>
                <w:szCs w:val="24"/>
              </w:rPr>
              <w:t>2014</w:t>
            </w:r>
          </w:p>
          <w:p w:rsidR="006E516C" w:rsidRPr="00C12805" w:rsidRDefault="006E516C" w:rsidP="009C335C">
            <w:pPr>
              <w:spacing w:after="0" w:line="240" w:lineRule="auto"/>
              <w:jc w:val="center"/>
              <w:rPr>
                <w:b/>
                <w:bCs/>
                <w:szCs w:val="24"/>
              </w:rPr>
            </w:pPr>
            <w:r w:rsidRPr="00C12805">
              <w:rPr>
                <w:b/>
                <w:bCs/>
                <w:szCs w:val="24"/>
              </w:rPr>
              <w:t>Pupil Premium</w:t>
            </w:r>
          </w:p>
        </w:tc>
        <w:tc>
          <w:tcPr>
            <w:tcW w:w="1140" w:type="dxa"/>
          </w:tcPr>
          <w:p w:rsidR="006E516C" w:rsidRPr="00C12805" w:rsidRDefault="006E516C" w:rsidP="009C335C">
            <w:pPr>
              <w:spacing w:after="0" w:line="240" w:lineRule="auto"/>
              <w:jc w:val="center"/>
              <w:rPr>
                <w:b/>
                <w:bCs/>
                <w:szCs w:val="24"/>
              </w:rPr>
            </w:pPr>
            <w:r w:rsidRPr="00C12805">
              <w:rPr>
                <w:b/>
                <w:bCs/>
                <w:szCs w:val="24"/>
              </w:rPr>
              <w:t>2015</w:t>
            </w:r>
          </w:p>
          <w:p w:rsidR="006E516C" w:rsidRPr="00C12805" w:rsidRDefault="006E516C" w:rsidP="009C335C">
            <w:pPr>
              <w:spacing w:after="0" w:line="240" w:lineRule="auto"/>
              <w:jc w:val="center"/>
              <w:rPr>
                <w:b/>
                <w:bCs/>
                <w:szCs w:val="24"/>
              </w:rPr>
            </w:pPr>
            <w:r w:rsidRPr="00C12805">
              <w:rPr>
                <w:b/>
                <w:bCs/>
                <w:szCs w:val="24"/>
              </w:rPr>
              <w:t>Whole School</w:t>
            </w:r>
          </w:p>
        </w:tc>
        <w:tc>
          <w:tcPr>
            <w:tcW w:w="1140" w:type="dxa"/>
          </w:tcPr>
          <w:p w:rsidR="006E516C" w:rsidRPr="00C12805" w:rsidRDefault="006E516C" w:rsidP="009C335C">
            <w:pPr>
              <w:spacing w:after="0" w:line="240" w:lineRule="auto"/>
              <w:jc w:val="center"/>
              <w:rPr>
                <w:b/>
                <w:bCs/>
                <w:szCs w:val="24"/>
              </w:rPr>
            </w:pPr>
            <w:r w:rsidRPr="00C12805">
              <w:rPr>
                <w:b/>
                <w:bCs/>
                <w:szCs w:val="24"/>
              </w:rPr>
              <w:t>2015</w:t>
            </w:r>
          </w:p>
          <w:p w:rsidR="006E516C" w:rsidRPr="00C12805" w:rsidRDefault="006E516C" w:rsidP="009C335C">
            <w:pPr>
              <w:spacing w:after="0" w:line="240" w:lineRule="auto"/>
              <w:jc w:val="center"/>
              <w:rPr>
                <w:b/>
                <w:bCs/>
                <w:szCs w:val="24"/>
              </w:rPr>
            </w:pPr>
            <w:r w:rsidRPr="00C12805">
              <w:rPr>
                <w:b/>
                <w:bCs/>
                <w:szCs w:val="24"/>
              </w:rPr>
              <w:t>Pupil Premium</w:t>
            </w:r>
          </w:p>
        </w:tc>
        <w:tc>
          <w:tcPr>
            <w:tcW w:w="1140" w:type="dxa"/>
          </w:tcPr>
          <w:p w:rsidR="006E516C" w:rsidRPr="00C12805" w:rsidRDefault="006E516C" w:rsidP="009C335C">
            <w:pPr>
              <w:spacing w:after="0" w:line="240" w:lineRule="auto"/>
              <w:jc w:val="center"/>
              <w:rPr>
                <w:b/>
                <w:bCs/>
                <w:szCs w:val="24"/>
              </w:rPr>
            </w:pPr>
            <w:r w:rsidRPr="00C12805">
              <w:rPr>
                <w:b/>
                <w:bCs/>
                <w:szCs w:val="24"/>
              </w:rPr>
              <w:t>2016</w:t>
            </w:r>
          </w:p>
          <w:p w:rsidR="006E516C" w:rsidRPr="00C12805" w:rsidRDefault="006E516C" w:rsidP="009C335C">
            <w:pPr>
              <w:spacing w:after="0" w:line="240" w:lineRule="auto"/>
              <w:jc w:val="center"/>
              <w:rPr>
                <w:b/>
                <w:bCs/>
                <w:szCs w:val="24"/>
              </w:rPr>
            </w:pPr>
            <w:r w:rsidRPr="00C12805">
              <w:rPr>
                <w:b/>
                <w:bCs/>
                <w:szCs w:val="24"/>
              </w:rPr>
              <w:t>Whole School</w:t>
            </w:r>
          </w:p>
        </w:tc>
        <w:tc>
          <w:tcPr>
            <w:tcW w:w="1245" w:type="dxa"/>
          </w:tcPr>
          <w:p w:rsidR="006E516C" w:rsidRPr="00C12805" w:rsidRDefault="006E516C" w:rsidP="009C335C">
            <w:pPr>
              <w:spacing w:after="0" w:line="240" w:lineRule="auto"/>
              <w:jc w:val="center"/>
              <w:rPr>
                <w:b/>
                <w:bCs/>
                <w:szCs w:val="24"/>
              </w:rPr>
            </w:pPr>
            <w:r w:rsidRPr="00C12805">
              <w:rPr>
                <w:b/>
                <w:bCs/>
                <w:szCs w:val="24"/>
              </w:rPr>
              <w:t>2016</w:t>
            </w:r>
          </w:p>
          <w:p w:rsidR="006E516C" w:rsidRPr="00C12805" w:rsidRDefault="006E516C" w:rsidP="009C335C">
            <w:pPr>
              <w:spacing w:after="0" w:line="240" w:lineRule="auto"/>
              <w:jc w:val="center"/>
              <w:rPr>
                <w:b/>
                <w:bCs/>
                <w:szCs w:val="24"/>
              </w:rPr>
            </w:pPr>
            <w:r w:rsidRPr="00C12805">
              <w:rPr>
                <w:b/>
                <w:bCs/>
                <w:szCs w:val="24"/>
              </w:rPr>
              <w:t>Pupil Premium</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5 + A*-A</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22</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16</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20</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15</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5 + A*-C</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72</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52</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75</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58</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77</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62</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5 + A*-C in En &amp; Ma</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67</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43</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60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47</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69</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59</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5 + A*-G</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99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100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96</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84</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97</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95</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1+ A*-G</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99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100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99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95</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99</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97</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 xml:space="preserve">KS2 - KS4 Ma 3 </w:t>
            </w:r>
            <w:proofErr w:type="spellStart"/>
            <w:r w:rsidRPr="009C335C">
              <w:rPr>
                <w:sz w:val="24"/>
                <w:szCs w:val="24"/>
              </w:rPr>
              <w:t>Lvls</w:t>
            </w:r>
            <w:proofErr w:type="spellEnd"/>
            <w:r w:rsidRPr="009C335C">
              <w:rPr>
                <w:sz w:val="24"/>
                <w:szCs w:val="24"/>
              </w:rPr>
              <w:t xml:space="preserve"> </w:t>
            </w:r>
            <w:proofErr w:type="spellStart"/>
            <w:r w:rsidRPr="009C335C">
              <w:rPr>
                <w:sz w:val="24"/>
                <w:szCs w:val="24"/>
              </w:rPr>
              <w:t>Prog</w:t>
            </w:r>
            <w:proofErr w:type="spellEnd"/>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73</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43</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69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56</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75</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66</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 xml:space="preserve">KS2 - KS4 En 3 </w:t>
            </w:r>
            <w:proofErr w:type="spellStart"/>
            <w:r w:rsidRPr="009C335C">
              <w:rPr>
                <w:sz w:val="24"/>
                <w:szCs w:val="24"/>
              </w:rPr>
              <w:t>Lvls</w:t>
            </w:r>
            <w:proofErr w:type="spellEnd"/>
            <w:r w:rsidRPr="009C335C">
              <w:rPr>
                <w:sz w:val="24"/>
                <w:szCs w:val="24"/>
              </w:rPr>
              <w:t xml:space="preserve"> </w:t>
            </w:r>
            <w:proofErr w:type="spellStart"/>
            <w:r w:rsidRPr="009C335C">
              <w:rPr>
                <w:sz w:val="24"/>
                <w:szCs w:val="24"/>
              </w:rPr>
              <w:t>Prog</w:t>
            </w:r>
            <w:proofErr w:type="spellEnd"/>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66</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70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64</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81</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61</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 xml:space="preserve">KS2 - KS4 Sc 3 </w:t>
            </w:r>
            <w:proofErr w:type="spellStart"/>
            <w:r w:rsidRPr="009C335C">
              <w:rPr>
                <w:sz w:val="24"/>
                <w:szCs w:val="24"/>
              </w:rPr>
              <w:t>Lvls</w:t>
            </w:r>
            <w:proofErr w:type="spellEnd"/>
            <w:r w:rsidRPr="009C335C">
              <w:rPr>
                <w:sz w:val="24"/>
                <w:szCs w:val="24"/>
              </w:rPr>
              <w:t xml:space="preserve"> </w:t>
            </w:r>
            <w:proofErr w:type="spellStart"/>
            <w:r w:rsidRPr="009C335C">
              <w:rPr>
                <w:sz w:val="24"/>
                <w:szCs w:val="24"/>
              </w:rPr>
              <w:t>Prog</w:t>
            </w:r>
            <w:proofErr w:type="spellEnd"/>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58</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35</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56</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45</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57</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55</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 xml:space="preserve">KS2 - KS4 En 4 </w:t>
            </w:r>
            <w:proofErr w:type="spellStart"/>
            <w:r w:rsidRPr="009C335C">
              <w:rPr>
                <w:sz w:val="24"/>
                <w:szCs w:val="24"/>
              </w:rPr>
              <w:t>Lvls</w:t>
            </w:r>
            <w:proofErr w:type="spellEnd"/>
            <w:r w:rsidRPr="009C335C">
              <w:rPr>
                <w:sz w:val="24"/>
                <w:szCs w:val="24"/>
              </w:rPr>
              <w:t xml:space="preserve"> </w:t>
            </w:r>
            <w:proofErr w:type="spellStart"/>
            <w:r w:rsidRPr="009C335C">
              <w:rPr>
                <w:sz w:val="24"/>
                <w:szCs w:val="24"/>
              </w:rPr>
              <w:t>Prog</w:t>
            </w:r>
            <w:proofErr w:type="spellEnd"/>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22</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13</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23</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14</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42</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32</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 xml:space="preserve">KS2 - KS4 Ma 4 </w:t>
            </w:r>
            <w:proofErr w:type="spellStart"/>
            <w:r w:rsidRPr="009C335C">
              <w:rPr>
                <w:sz w:val="24"/>
                <w:szCs w:val="24"/>
              </w:rPr>
              <w:t>Lvls</w:t>
            </w:r>
            <w:proofErr w:type="spellEnd"/>
            <w:r w:rsidRPr="009C335C">
              <w:rPr>
                <w:sz w:val="24"/>
                <w:szCs w:val="24"/>
              </w:rPr>
              <w:t xml:space="preserve"> </w:t>
            </w:r>
            <w:proofErr w:type="spellStart"/>
            <w:r w:rsidRPr="009C335C">
              <w:rPr>
                <w:sz w:val="24"/>
                <w:szCs w:val="24"/>
              </w:rPr>
              <w:t>Prog</w:t>
            </w:r>
            <w:proofErr w:type="spellEnd"/>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39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17</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37</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28</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40</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37</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 xml:space="preserve">KS2 - KS4 Sc 4 </w:t>
            </w:r>
            <w:proofErr w:type="spellStart"/>
            <w:r w:rsidRPr="009C335C">
              <w:rPr>
                <w:sz w:val="24"/>
                <w:szCs w:val="24"/>
              </w:rPr>
              <w:t>Lvls</w:t>
            </w:r>
            <w:proofErr w:type="spellEnd"/>
            <w:r w:rsidRPr="009C335C">
              <w:rPr>
                <w:sz w:val="24"/>
                <w:szCs w:val="24"/>
              </w:rPr>
              <w:t xml:space="preserve"> </w:t>
            </w:r>
            <w:proofErr w:type="spellStart"/>
            <w:r w:rsidRPr="009C335C">
              <w:rPr>
                <w:sz w:val="24"/>
                <w:szCs w:val="24"/>
              </w:rPr>
              <w:t>Prog</w:t>
            </w:r>
            <w:proofErr w:type="spellEnd"/>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20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14</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25</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16</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2 Science A*-C</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57</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39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67</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54</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59</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49</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MFL A*-C</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46</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23</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45</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34</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44</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18</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MFL A*-G</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64</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36</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62</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53</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56</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26</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En A*-C</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75</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52</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71</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50</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81</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64</w:t>
            </w:r>
          </w:p>
        </w:tc>
      </w:tr>
      <w:tr w:rsidR="006E516C" w:rsidRPr="00125884" w:rsidTr="00C12805">
        <w:trPr>
          <w:jc w:val="center"/>
        </w:trPr>
        <w:tc>
          <w:tcPr>
            <w:tcW w:w="2846" w:type="dxa"/>
            <w:vAlign w:val="bottom"/>
          </w:tcPr>
          <w:p w:rsidR="006E516C" w:rsidRPr="009C335C" w:rsidRDefault="006E516C" w:rsidP="009C335C">
            <w:pPr>
              <w:spacing w:after="0" w:line="240" w:lineRule="auto"/>
              <w:rPr>
                <w:sz w:val="24"/>
                <w:szCs w:val="24"/>
              </w:rPr>
            </w:pPr>
            <w:r w:rsidRPr="009C335C">
              <w:rPr>
                <w:sz w:val="24"/>
                <w:szCs w:val="24"/>
              </w:rPr>
              <w:t>GCSE Ma A*-C</w:t>
            </w:r>
          </w:p>
        </w:tc>
        <w:tc>
          <w:tcPr>
            <w:tcW w:w="1009" w:type="dxa"/>
            <w:vAlign w:val="bottom"/>
          </w:tcPr>
          <w:p w:rsidR="006E516C" w:rsidRPr="009C335C" w:rsidRDefault="006E516C" w:rsidP="009C335C">
            <w:pPr>
              <w:spacing w:after="0" w:line="240" w:lineRule="auto"/>
              <w:jc w:val="center"/>
              <w:rPr>
                <w:sz w:val="24"/>
                <w:szCs w:val="24"/>
              </w:rPr>
            </w:pPr>
            <w:r w:rsidRPr="009C335C">
              <w:rPr>
                <w:sz w:val="24"/>
                <w:szCs w:val="24"/>
              </w:rPr>
              <w:t>79</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57</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72</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68</w:t>
            </w:r>
          </w:p>
        </w:tc>
        <w:tc>
          <w:tcPr>
            <w:tcW w:w="1140" w:type="dxa"/>
            <w:vAlign w:val="bottom"/>
          </w:tcPr>
          <w:p w:rsidR="006E516C" w:rsidRPr="009C335C" w:rsidRDefault="006E516C" w:rsidP="009C335C">
            <w:pPr>
              <w:spacing w:after="0" w:line="240" w:lineRule="auto"/>
              <w:jc w:val="center"/>
              <w:rPr>
                <w:sz w:val="24"/>
                <w:szCs w:val="24"/>
              </w:rPr>
            </w:pPr>
            <w:r w:rsidRPr="009C335C">
              <w:rPr>
                <w:sz w:val="24"/>
                <w:szCs w:val="24"/>
              </w:rPr>
              <w:t>74</w:t>
            </w:r>
          </w:p>
        </w:tc>
        <w:tc>
          <w:tcPr>
            <w:tcW w:w="1245" w:type="dxa"/>
            <w:vAlign w:val="bottom"/>
          </w:tcPr>
          <w:p w:rsidR="006E516C" w:rsidRPr="009C335C" w:rsidRDefault="006E516C" w:rsidP="009C335C">
            <w:pPr>
              <w:spacing w:after="0" w:line="240" w:lineRule="auto"/>
              <w:jc w:val="center"/>
              <w:rPr>
                <w:sz w:val="24"/>
                <w:szCs w:val="24"/>
              </w:rPr>
            </w:pPr>
            <w:r w:rsidRPr="009C335C">
              <w:rPr>
                <w:sz w:val="24"/>
                <w:szCs w:val="24"/>
              </w:rPr>
              <w:t>64</w:t>
            </w:r>
          </w:p>
        </w:tc>
      </w:tr>
    </w:tbl>
    <w:p w:rsidR="006E516C" w:rsidRPr="00125884" w:rsidRDefault="006E516C">
      <w:pPr>
        <w:spacing w:after="0"/>
        <w:rPr>
          <w:b/>
          <w:bCs/>
          <w:sz w:val="24"/>
          <w:szCs w:val="24"/>
        </w:rPr>
      </w:pPr>
    </w:p>
    <w:p w:rsidR="006E516C" w:rsidRPr="00125884" w:rsidRDefault="006E516C">
      <w:pPr>
        <w:spacing w:after="0"/>
        <w:rPr>
          <w:sz w:val="24"/>
          <w:szCs w:val="24"/>
        </w:rPr>
      </w:pPr>
      <w:r w:rsidRPr="00125884">
        <w:rPr>
          <w:sz w:val="24"/>
          <w:szCs w:val="24"/>
        </w:rPr>
        <w:t xml:space="preserve">The table above indicates that the gap between disadvantaged students and the rest of the </w:t>
      </w:r>
      <w:proofErr w:type="spellStart"/>
      <w:r w:rsidRPr="00125884">
        <w:rPr>
          <w:sz w:val="24"/>
          <w:szCs w:val="24"/>
        </w:rPr>
        <w:t>Bushey</w:t>
      </w:r>
      <w:proofErr w:type="spellEnd"/>
      <w:r w:rsidRPr="00125884">
        <w:rPr>
          <w:sz w:val="24"/>
          <w:szCs w:val="24"/>
        </w:rPr>
        <w:t xml:space="preserve"> Meads cohort is closing in most measures.</w:t>
      </w:r>
      <w:r w:rsidR="00C12805">
        <w:rPr>
          <w:sz w:val="24"/>
          <w:szCs w:val="24"/>
        </w:rPr>
        <w:t xml:space="preserve"> </w:t>
      </w:r>
      <w:r w:rsidRPr="00125884">
        <w:rPr>
          <w:sz w:val="24"/>
          <w:szCs w:val="24"/>
        </w:rPr>
        <w:t>The investment in maths and English interventions, teaching staff to support disadvantaged students learning, behaviour support and teaching aids is having an impact on progress made.</w:t>
      </w:r>
    </w:p>
    <w:p w:rsidR="006E516C" w:rsidRPr="00125884" w:rsidRDefault="006E516C">
      <w:pPr>
        <w:spacing w:after="0"/>
        <w:rPr>
          <w:sz w:val="24"/>
          <w:szCs w:val="24"/>
        </w:rPr>
      </w:pPr>
    </w:p>
    <w:p w:rsidR="006E516C" w:rsidRPr="00125884" w:rsidRDefault="006E516C">
      <w:pPr>
        <w:spacing w:after="0"/>
        <w:rPr>
          <w:b/>
          <w:bCs/>
          <w:sz w:val="24"/>
          <w:szCs w:val="24"/>
        </w:rPr>
      </w:pPr>
      <w:r w:rsidRPr="00125884">
        <w:rPr>
          <w:b/>
          <w:bCs/>
          <w:sz w:val="24"/>
          <w:szCs w:val="24"/>
        </w:rPr>
        <w:t>SPEND 2015-2016</w:t>
      </w:r>
    </w:p>
    <w:p w:rsidR="006E516C" w:rsidRPr="00125884" w:rsidRDefault="006E516C">
      <w:pPr>
        <w:spacing w:after="0"/>
        <w:rPr>
          <w:b/>
          <w:bCs/>
          <w:sz w:val="12"/>
          <w:szCs w:val="12"/>
        </w:rPr>
      </w:pPr>
    </w:p>
    <w:tbl>
      <w:tblPr>
        <w:tblW w:w="86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7096"/>
        <w:gridCol w:w="1586"/>
      </w:tblGrid>
      <w:tr w:rsidR="006E516C" w:rsidRPr="00125884">
        <w:trPr>
          <w:trHeight w:val="340"/>
          <w:jc w:val="center"/>
        </w:trPr>
        <w:tc>
          <w:tcPr>
            <w:tcW w:w="7096" w:type="dxa"/>
            <w:vAlign w:val="center"/>
          </w:tcPr>
          <w:p w:rsidR="006E516C" w:rsidRPr="009C335C" w:rsidRDefault="006E516C" w:rsidP="009C335C">
            <w:pPr>
              <w:spacing w:after="0" w:line="240" w:lineRule="auto"/>
              <w:rPr>
                <w:b/>
                <w:bCs/>
                <w:sz w:val="24"/>
                <w:szCs w:val="24"/>
              </w:rPr>
            </w:pPr>
            <w:r w:rsidRPr="009C335C">
              <w:rPr>
                <w:b/>
                <w:bCs/>
                <w:sz w:val="24"/>
                <w:szCs w:val="24"/>
              </w:rPr>
              <w:t>INTERVENTION</w:t>
            </w:r>
          </w:p>
        </w:tc>
        <w:tc>
          <w:tcPr>
            <w:tcW w:w="1586" w:type="dxa"/>
            <w:vAlign w:val="center"/>
          </w:tcPr>
          <w:p w:rsidR="006E516C" w:rsidRPr="009C335C" w:rsidRDefault="006E516C" w:rsidP="009C335C">
            <w:pPr>
              <w:spacing w:after="0" w:line="240" w:lineRule="auto"/>
              <w:jc w:val="center"/>
              <w:rPr>
                <w:b/>
                <w:bCs/>
                <w:sz w:val="24"/>
                <w:szCs w:val="24"/>
              </w:rPr>
            </w:pPr>
            <w:r w:rsidRPr="009C335C">
              <w:rPr>
                <w:b/>
                <w:bCs/>
                <w:sz w:val="24"/>
                <w:szCs w:val="24"/>
              </w:rPr>
              <w:t>SPEND</w:t>
            </w:r>
            <w:r w:rsidR="00736C95">
              <w:rPr>
                <w:b/>
                <w:bCs/>
                <w:sz w:val="24"/>
                <w:szCs w:val="24"/>
              </w:rPr>
              <w:t xml:space="preserve"> (£)</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Proportion of staff salaries to raise achievement in English and maths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124,616.98</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Individual student requests (trips, uniform, equipment, etc)</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4,113.94</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Alternative provision (e.g. college placements)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4197.20</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Rewards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£350.00</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HCC counselling</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4502.74</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Youth Connexions Support</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5734.8</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GCSE Maths pp lunch intervention</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720</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GCSE English pp lunch intervention</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274.28</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Curriculum support (Prince’s Trust)</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1071.48</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Clinical Supervision for Intervention Manager</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900</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Key Stage 3 support for students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3745.92</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Safeguarding online programme (CPOMS)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381.25</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Key Stage 4 support for students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5067.12</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Key stage 5 support for students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710.40</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Extra careers guidance for pp students, youth connexions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5734.80</w:t>
            </w:r>
          </w:p>
        </w:tc>
      </w:tr>
      <w:tr w:rsidR="006E516C" w:rsidRPr="00125884">
        <w:trPr>
          <w:trHeight w:val="340"/>
          <w:jc w:val="center"/>
        </w:trPr>
        <w:tc>
          <w:tcPr>
            <w:tcW w:w="7096" w:type="dxa"/>
            <w:vAlign w:val="center"/>
          </w:tcPr>
          <w:p w:rsidR="006E516C" w:rsidRPr="009C335C" w:rsidRDefault="006E516C" w:rsidP="00125884">
            <w:pPr>
              <w:pStyle w:val="NoSpacing"/>
              <w:contextualSpacing/>
              <w:rPr>
                <w:sz w:val="24"/>
                <w:szCs w:val="24"/>
              </w:rPr>
            </w:pPr>
            <w:r w:rsidRPr="009C335C">
              <w:rPr>
                <w:sz w:val="24"/>
                <w:szCs w:val="24"/>
              </w:rPr>
              <w:t>Interventions sessions and equipment for PP students</w:t>
            </w:r>
          </w:p>
        </w:tc>
        <w:tc>
          <w:tcPr>
            <w:tcW w:w="1586" w:type="dxa"/>
            <w:vAlign w:val="center"/>
          </w:tcPr>
          <w:p w:rsidR="006E516C" w:rsidRPr="009C335C" w:rsidRDefault="006E516C" w:rsidP="00125884">
            <w:pPr>
              <w:pStyle w:val="NoSpacing"/>
              <w:contextualSpacing/>
              <w:rPr>
                <w:sz w:val="24"/>
                <w:szCs w:val="24"/>
              </w:rPr>
            </w:pPr>
            <w:r w:rsidRPr="009C335C">
              <w:rPr>
                <w:sz w:val="24"/>
                <w:szCs w:val="24"/>
              </w:rPr>
              <w:t>15,950.51</w:t>
            </w:r>
          </w:p>
        </w:tc>
      </w:tr>
      <w:tr w:rsidR="006E516C" w:rsidRPr="00125884">
        <w:trPr>
          <w:trHeight w:val="340"/>
          <w:jc w:val="center"/>
        </w:trPr>
        <w:tc>
          <w:tcPr>
            <w:tcW w:w="7096" w:type="dxa"/>
            <w:vAlign w:val="center"/>
          </w:tcPr>
          <w:p w:rsidR="006E516C" w:rsidRPr="009C335C" w:rsidRDefault="006E516C" w:rsidP="00125884">
            <w:pPr>
              <w:pStyle w:val="NoSpacing"/>
              <w:contextualSpacing/>
              <w:rPr>
                <w:b/>
                <w:bCs/>
                <w:sz w:val="24"/>
                <w:szCs w:val="24"/>
              </w:rPr>
            </w:pPr>
            <w:r w:rsidRPr="009C335C">
              <w:rPr>
                <w:b/>
                <w:bCs/>
                <w:sz w:val="24"/>
                <w:szCs w:val="24"/>
              </w:rPr>
              <w:t>TOTAL</w:t>
            </w:r>
          </w:p>
        </w:tc>
        <w:tc>
          <w:tcPr>
            <w:tcW w:w="1586" w:type="dxa"/>
            <w:vAlign w:val="center"/>
          </w:tcPr>
          <w:p w:rsidR="006E516C" w:rsidRPr="009C335C" w:rsidRDefault="006E516C" w:rsidP="00125884">
            <w:pPr>
              <w:pStyle w:val="NoSpacing"/>
              <w:contextualSpacing/>
              <w:rPr>
                <w:b/>
                <w:bCs/>
                <w:sz w:val="24"/>
                <w:szCs w:val="24"/>
              </w:rPr>
            </w:pPr>
            <w:r w:rsidRPr="009C335C">
              <w:rPr>
                <w:b/>
                <w:bCs/>
                <w:sz w:val="24"/>
                <w:szCs w:val="24"/>
              </w:rPr>
              <w:t>178,071.42</w:t>
            </w:r>
          </w:p>
        </w:tc>
      </w:tr>
    </w:tbl>
    <w:p w:rsidR="00C12805" w:rsidRDefault="00C12805">
      <w:pPr>
        <w:spacing w:after="0"/>
        <w:rPr>
          <w:b/>
          <w:bCs/>
          <w:sz w:val="24"/>
          <w:szCs w:val="24"/>
        </w:rPr>
      </w:pPr>
    </w:p>
    <w:p w:rsidR="006E516C" w:rsidRPr="00125884" w:rsidRDefault="006E516C">
      <w:pPr>
        <w:spacing w:after="0"/>
        <w:rPr>
          <w:b/>
          <w:bCs/>
          <w:sz w:val="24"/>
          <w:szCs w:val="24"/>
        </w:rPr>
      </w:pPr>
      <w:r w:rsidRPr="00125884">
        <w:rPr>
          <w:b/>
          <w:bCs/>
          <w:sz w:val="24"/>
          <w:szCs w:val="24"/>
        </w:rPr>
        <w:t>Future spending plans</w:t>
      </w:r>
    </w:p>
    <w:p w:rsidR="006E516C" w:rsidRPr="00125884" w:rsidRDefault="006E516C">
      <w:pPr>
        <w:numPr>
          <w:ilvl w:val="0"/>
          <w:numId w:val="1"/>
        </w:numPr>
        <w:spacing w:after="0"/>
        <w:ind w:hanging="360"/>
        <w:contextualSpacing/>
        <w:rPr>
          <w:b/>
          <w:bCs/>
          <w:sz w:val="24"/>
          <w:szCs w:val="24"/>
        </w:rPr>
      </w:pPr>
      <w:r w:rsidRPr="00125884">
        <w:rPr>
          <w:sz w:val="24"/>
          <w:szCs w:val="24"/>
        </w:rPr>
        <w:t>Continue to provide a personalised timetable to ensure that each pupil follows an appropriate curriculum such as the Princes Trust</w:t>
      </w:r>
    </w:p>
    <w:p w:rsidR="006E516C" w:rsidRPr="00125884" w:rsidRDefault="006E516C">
      <w:pPr>
        <w:numPr>
          <w:ilvl w:val="0"/>
          <w:numId w:val="1"/>
        </w:numPr>
        <w:spacing w:after="0"/>
        <w:ind w:hanging="360"/>
        <w:contextualSpacing/>
        <w:rPr>
          <w:b/>
          <w:bCs/>
          <w:sz w:val="24"/>
          <w:szCs w:val="24"/>
        </w:rPr>
      </w:pPr>
      <w:r w:rsidRPr="00125884">
        <w:rPr>
          <w:sz w:val="24"/>
          <w:szCs w:val="24"/>
        </w:rPr>
        <w:t>Continue to provide literacy and numeracy support to enable all pupils to access the curriculum</w:t>
      </w:r>
    </w:p>
    <w:p w:rsidR="006E516C" w:rsidRPr="00125884" w:rsidRDefault="006E516C">
      <w:pPr>
        <w:numPr>
          <w:ilvl w:val="0"/>
          <w:numId w:val="1"/>
        </w:numPr>
        <w:spacing w:after="0"/>
        <w:ind w:hanging="360"/>
        <w:contextualSpacing/>
        <w:rPr>
          <w:b/>
          <w:bCs/>
          <w:sz w:val="24"/>
          <w:szCs w:val="24"/>
        </w:rPr>
      </w:pPr>
      <w:r w:rsidRPr="00125884">
        <w:rPr>
          <w:sz w:val="24"/>
          <w:szCs w:val="24"/>
        </w:rPr>
        <w:t>Continue to provide a counsellor to support the emotional needs of PP/CLA students</w:t>
      </w:r>
    </w:p>
    <w:p w:rsidR="006E516C" w:rsidRPr="00125884" w:rsidRDefault="006E516C">
      <w:pPr>
        <w:numPr>
          <w:ilvl w:val="0"/>
          <w:numId w:val="1"/>
        </w:numPr>
        <w:spacing w:after="0"/>
        <w:ind w:hanging="360"/>
        <w:contextualSpacing/>
        <w:rPr>
          <w:b/>
          <w:bCs/>
          <w:sz w:val="24"/>
          <w:szCs w:val="24"/>
        </w:rPr>
      </w:pPr>
      <w:r w:rsidRPr="00125884">
        <w:rPr>
          <w:sz w:val="24"/>
          <w:szCs w:val="24"/>
        </w:rPr>
        <w:t>Provide appropriate learning resources for students to ensure they are able to maximise the learning opportunities</w:t>
      </w:r>
    </w:p>
    <w:p w:rsidR="006E516C" w:rsidRPr="00125884" w:rsidRDefault="006E516C">
      <w:pPr>
        <w:numPr>
          <w:ilvl w:val="0"/>
          <w:numId w:val="1"/>
        </w:numPr>
        <w:spacing w:after="0"/>
        <w:ind w:hanging="360"/>
        <w:contextualSpacing/>
        <w:rPr>
          <w:b/>
          <w:bCs/>
          <w:sz w:val="24"/>
          <w:szCs w:val="24"/>
        </w:rPr>
      </w:pPr>
      <w:r w:rsidRPr="00125884">
        <w:rPr>
          <w:sz w:val="24"/>
          <w:szCs w:val="24"/>
        </w:rPr>
        <w:t xml:space="preserve">Run intervention sessions which address the academic, social, emotional and behavioural needs of pupils, including concerns that prevent any PP/CLA pupil from using appropriate learning behaviour in mainstream lessons. </w:t>
      </w:r>
    </w:p>
    <w:p w:rsidR="006E516C" w:rsidRPr="00125884" w:rsidRDefault="006E516C">
      <w:pPr>
        <w:numPr>
          <w:ilvl w:val="0"/>
          <w:numId w:val="1"/>
        </w:numPr>
        <w:spacing w:after="0"/>
        <w:ind w:hanging="360"/>
        <w:contextualSpacing/>
        <w:rPr>
          <w:b/>
          <w:bCs/>
          <w:sz w:val="24"/>
          <w:szCs w:val="24"/>
        </w:rPr>
      </w:pPr>
      <w:r w:rsidRPr="00125884">
        <w:rPr>
          <w:sz w:val="24"/>
          <w:szCs w:val="24"/>
        </w:rPr>
        <w:t>Continue to have an extended school day so resources and support are available before and after school, ensuring that all FSM/CLA pupils can access computers and other resources that may not be available at home</w:t>
      </w:r>
    </w:p>
    <w:p w:rsidR="006E516C" w:rsidRPr="00125884" w:rsidRDefault="006E516C">
      <w:pPr>
        <w:numPr>
          <w:ilvl w:val="0"/>
          <w:numId w:val="1"/>
        </w:numPr>
        <w:spacing w:after="0"/>
        <w:ind w:hanging="360"/>
        <w:contextualSpacing/>
        <w:rPr>
          <w:b/>
          <w:bCs/>
          <w:sz w:val="24"/>
          <w:szCs w:val="24"/>
        </w:rPr>
      </w:pPr>
      <w:r w:rsidRPr="00125884">
        <w:rPr>
          <w:sz w:val="24"/>
          <w:szCs w:val="24"/>
        </w:rPr>
        <w:t>Provide support for pupils at lunchtime and after school to enhance the quality of their class work and their homework ensuring that there is always a supervised space for FSM/CLA pupils to work.</w:t>
      </w:r>
    </w:p>
    <w:p w:rsidR="006E516C" w:rsidRPr="00125884" w:rsidRDefault="006E516C">
      <w:pPr>
        <w:numPr>
          <w:ilvl w:val="0"/>
          <w:numId w:val="1"/>
        </w:numPr>
        <w:spacing w:after="0"/>
        <w:ind w:hanging="360"/>
        <w:contextualSpacing/>
        <w:rPr>
          <w:b/>
          <w:bCs/>
          <w:sz w:val="24"/>
          <w:szCs w:val="24"/>
        </w:rPr>
      </w:pPr>
      <w:r w:rsidRPr="00125884">
        <w:rPr>
          <w:sz w:val="24"/>
          <w:szCs w:val="24"/>
        </w:rPr>
        <w:t>Ensure pupils are able to access appropriate resources and opportunities, including contributing to the costs of school trips for FSM/CLA pupils if feasible and considered appropriate by the school</w:t>
      </w:r>
    </w:p>
    <w:p w:rsidR="006E516C" w:rsidRPr="00125884" w:rsidRDefault="006E516C">
      <w:pPr>
        <w:numPr>
          <w:ilvl w:val="0"/>
          <w:numId w:val="1"/>
        </w:numPr>
        <w:spacing w:after="0"/>
        <w:ind w:hanging="360"/>
        <w:contextualSpacing/>
        <w:rPr>
          <w:sz w:val="24"/>
          <w:szCs w:val="24"/>
        </w:rPr>
      </w:pPr>
      <w:bookmarkStart w:id="1" w:name="_ugbsgcd9kw7u" w:colFirst="0" w:colLast="0"/>
      <w:bookmarkEnd w:id="1"/>
      <w:r w:rsidRPr="00125884">
        <w:rPr>
          <w:sz w:val="24"/>
          <w:szCs w:val="24"/>
        </w:rPr>
        <w:t>Provide incentives for pupil premium students to improve attendance</w:t>
      </w:r>
    </w:p>
    <w:p w:rsidR="006E516C" w:rsidRDefault="006E516C">
      <w:pPr>
        <w:numPr>
          <w:ilvl w:val="0"/>
          <w:numId w:val="1"/>
        </w:numPr>
        <w:spacing w:after="0"/>
        <w:ind w:hanging="360"/>
        <w:contextualSpacing/>
        <w:rPr>
          <w:sz w:val="24"/>
          <w:szCs w:val="24"/>
        </w:rPr>
      </w:pPr>
      <w:bookmarkStart w:id="2" w:name="_gjdgxs" w:colFirst="0" w:colLast="0"/>
      <w:bookmarkEnd w:id="2"/>
      <w:r w:rsidRPr="00125884">
        <w:rPr>
          <w:sz w:val="24"/>
          <w:szCs w:val="24"/>
        </w:rPr>
        <w:t>Provide revision guides for all exam students</w:t>
      </w:r>
    </w:p>
    <w:p w:rsidR="00034E7D" w:rsidRDefault="00034E7D" w:rsidP="00034E7D">
      <w:pPr>
        <w:spacing w:after="0"/>
        <w:contextualSpacing/>
        <w:rPr>
          <w:sz w:val="24"/>
          <w:szCs w:val="24"/>
        </w:rPr>
      </w:pPr>
    </w:p>
    <w:p w:rsidR="00034E7D" w:rsidRPr="00125884" w:rsidRDefault="00034E7D" w:rsidP="00034E7D">
      <w:pPr>
        <w:spacing w:after="0"/>
        <w:contextualSpacing/>
        <w:rPr>
          <w:sz w:val="24"/>
          <w:szCs w:val="24"/>
        </w:rPr>
      </w:pPr>
      <w:r>
        <w:rPr>
          <w:sz w:val="24"/>
          <w:szCs w:val="24"/>
        </w:rPr>
        <w:t>This will next be reviewed in March 2018.</w:t>
      </w:r>
    </w:p>
    <w:sectPr w:rsidR="00034E7D" w:rsidRPr="00125884" w:rsidSect="00125884">
      <w:pgSz w:w="11906" w:h="16838"/>
      <w:pgMar w:top="567" w:right="567" w:bottom="567" w:left="56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5E46"/>
    <w:multiLevelType w:val="multilevel"/>
    <w:tmpl w:val="F32691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34424D"/>
    <w:multiLevelType w:val="hybridMultilevel"/>
    <w:tmpl w:val="7A2C8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compat/>
  <w:rsids>
    <w:rsidRoot w:val="00CA49CC"/>
    <w:rsid w:val="00034E7D"/>
    <w:rsid w:val="000D27C6"/>
    <w:rsid w:val="0011456A"/>
    <w:rsid w:val="00125884"/>
    <w:rsid w:val="00443DD3"/>
    <w:rsid w:val="0055295D"/>
    <w:rsid w:val="006E516C"/>
    <w:rsid w:val="00736C95"/>
    <w:rsid w:val="007F4B96"/>
    <w:rsid w:val="0084665C"/>
    <w:rsid w:val="009C335C"/>
    <w:rsid w:val="00A41EB0"/>
    <w:rsid w:val="00AE39EB"/>
    <w:rsid w:val="00C12805"/>
    <w:rsid w:val="00CA49CC"/>
    <w:rsid w:val="00E518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7"/>
    <w:pPr>
      <w:widowControl w:val="0"/>
      <w:spacing w:after="200" w:line="276" w:lineRule="auto"/>
    </w:pPr>
    <w:rPr>
      <w:color w:val="000000"/>
    </w:rPr>
  </w:style>
  <w:style w:type="paragraph" w:styleId="Heading1">
    <w:name w:val="heading 1"/>
    <w:basedOn w:val="Normal"/>
    <w:next w:val="Normal"/>
    <w:link w:val="Heading1Char"/>
    <w:uiPriority w:val="99"/>
    <w:qFormat/>
    <w:rsid w:val="00E51807"/>
    <w:pPr>
      <w:keepNext/>
      <w:keepLines/>
      <w:spacing w:before="480" w:after="120"/>
      <w:contextualSpacing/>
      <w:outlineLvl w:val="0"/>
    </w:pPr>
    <w:rPr>
      <w:b/>
      <w:bCs/>
      <w:sz w:val="48"/>
      <w:szCs w:val="48"/>
    </w:rPr>
  </w:style>
  <w:style w:type="paragraph" w:styleId="Heading2">
    <w:name w:val="heading 2"/>
    <w:basedOn w:val="Normal"/>
    <w:next w:val="Normal"/>
    <w:link w:val="Heading2Char"/>
    <w:uiPriority w:val="99"/>
    <w:qFormat/>
    <w:rsid w:val="00E51807"/>
    <w:pPr>
      <w:keepNext/>
      <w:keepLines/>
      <w:spacing w:before="360" w:after="80"/>
      <w:contextualSpacing/>
      <w:outlineLvl w:val="1"/>
    </w:pPr>
    <w:rPr>
      <w:b/>
      <w:bCs/>
      <w:sz w:val="36"/>
      <w:szCs w:val="36"/>
    </w:rPr>
  </w:style>
  <w:style w:type="paragraph" w:styleId="Heading3">
    <w:name w:val="heading 3"/>
    <w:basedOn w:val="Normal"/>
    <w:next w:val="Normal"/>
    <w:link w:val="Heading3Char"/>
    <w:uiPriority w:val="99"/>
    <w:qFormat/>
    <w:rsid w:val="00E51807"/>
    <w:pPr>
      <w:keepNext/>
      <w:keepLines/>
      <w:spacing w:before="280" w:after="80"/>
      <w:contextualSpacing/>
      <w:outlineLvl w:val="2"/>
    </w:pPr>
    <w:rPr>
      <w:b/>
      <w:bCs/>
      <w:sz w:val="28"/>
      <w:szCs w:val="28"/>
    </w:rPr>
  </w:style>
  <w:style w:type="paragraph" w:styleId="Heading4">
    <w:name w:val="heading 4"/>
    <w:basedOn w:val="Normal"/>
    <w:next w:val="Normal"/>
    <w:link w:val="Heading4Char"/>
    <w:uiPriority w:val="99"/>
    <w:qFormat/>
    <w:rsid w:val="00E51807"/>
    <w:pPr>
      <w:keepNext/>
      <w:keepLines/>
      <w:spacing w:before="240" w:after="40"/>
      <w:contextualSpacing/>
      <w:outlineLvl w:val="3"/>
    </w:pPr>
    <w:rPr>
      <w:b/>
      <w:bCs/>
      <w:sz w:val="24"/>
      <w:szCs w:val="24"/>
    </w:rPr>
  </w:style>
  <w:style w:type="paragraph" w:styleId="Heading5">
    <w:name w:val="heading 5"/>
    <w:basedOn w:val="Normal"/>
    <w:next w:val="Normal"/>
    <w:link w:val="Heading5Char"/>
    <w:uiPriority w:val="99"/>
    <w:qFormat/>
    <w:rsid w:val="00E51807"/>
    <w:pPr>
      <w:keepNext/>
      <w:keepLines/>
      <w:spacing w:before="220" w:after="40"/>
      <w:contextualSpacing/>
      <w:outlineLvl w:val="4"/>
    </w:pPr>
    <w:rPr>
      <w:b/>
      <w:bCs/>
    </w:rPr>
  </w:style>
  <w:style w:type="paragraph" w:styleId="Heading6">
    <w:name w:val="heading 6"/>
    <w:basedOn w:val="Normal"/>
    <w:next w:val="Normal"/>
    <w:link w:val="Heading6Char"/>
    <w:uiPriority w:val="99"/>
    <w:qFormat/>
    <w:rsid w:val="00E51807"/>
    <w:pPr>
      <w:keepNext/>
      <w:keepLines/>
      <w:spacing w:before="200" w:after="40"/>
      <w:contextualSpacing/>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3C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063C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063C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063C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063C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063C7"/>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E51807"/>
    <w:pPr>
      <w:keepNext/>
      <w:keepLines/>
      <w:spacing w:before="480" w:after="120"/>
      <w:contextualSpacing/>
    </w:pPr>
    <w:rPr>
      <w:b/>
      <w:bCs/>
      <w:sz w:val="72"/>
      <w:szCs w:val="72"/>
    </w:rPr>
  </w:style>
  <w:style w:type="character" w:customStyle="1" w:styleId="TitleChar">
    <w:name w:val="Title Char"/>
    <w:basedOn w:val="DefaultParagraphFont"/>
    <w:link w:val="Title"/>
    <w:uiPriority w:val="10"/>
    <w:rsid w:val="00B063C7"/>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E51807"/>
    <w:pPr>
      <w:keepNext/>
      <w:keepLines/>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B063C7"/>
    <w:rPr>
      <w:rFonts w:asciiTheme="majorHAnsi" w:eastAsiaTheme="majorEastAsia" w:hAnsiTheme="majorHAnsi" w:cstheme="majorBidi"/>
      <w:color w:val="000000"/>
      <w:sz w:val="24"/>
      <w:szCs w:val="24"/>
    </w:rPr>
  </w:style>
  <w:style w:type="table" w:customStyle="1" w:styleId="Style">
    <w:name w:val="Style"/>
    <w:uiPriority w:val="99"/>
    <w:rsid w:val="00E51807"/>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E51807"/>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E51807"/>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NoSpacing">
    <w:name w:val="No Spacing"/>
    <w:uiPriority w:val="99"/>
    <w:qFormat/>
    <w:rsid w:val="00125884"/>
    <w:pPr>
      <w:widowControl w:val="0"/>
    </w:pPr>
    <w:rPr>
      <w:color w:val="000000"/>
    </w:rPr>
  </w:style>
  <w:style w:type="paragraph" w:styleId="ListParagraph">
    <w:name w:val="List Paragraph"/>
    <w:basedOn w:val="Normal"/>
    <w:uiPriority w:val="99"/>
    <w:qFormat/>
    <w:rsid w:val="001258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07"/>
    <w:pPr>
      <w:widowControl w:val="0"/>
      <w:spacing w:after="200" w:line="276" w:lineRule="auto"/>
    </w:pPr>
    <w:rPr>
      <w:color w:val="000000"/>
    </w:rPr>
  </w:style>
  <w:style w:type="paragraph" w:styleId="Heading1">
    <w:name w:val="heading 1"/>
    <w:basedOn w:val="Normal"/>
    <w:next w:val="Normal"/>
    <w:link w:val="Heading1Char"/>
    <w:uiPriority w:val="99"/>
    <w:qFormat/>
    <w:rsid w:val="00E51807"/>
    <w:pPr>
      <w:keepNext/>
      <w:keepLines/>
      <w:spacing w:before="480" w:after="120"/>
      <w:contextualSpacing/>
      <w:outlineLvl w:val="0"/>
    </w:pPr>
    <w:rPr>
      <w:b/>
      <w:bCs/>
      <w:sz w:val="48"/>
      <w:szCs w:val="48"/>
    </w:rPr>
  </w:style>
  <w:style w:type="paragraph" w:styleId="Heading2">
    <w:name w:val="heading 2"/>
    <w:basedOn w:val="Normal"/>
    <w:next w:val="Normal"/>
    <w:link w:val="Heading2Char"/>
    <w:uiPriority w:val="99"/>
    <w:qFormat/>
    <w:rsid w:val="00E51807"/>
    <w:pPr>
      <w:keepNext/>
      <w:keepLines/>
      <w:spacing w:before="360" w:after="80"/>
      <w:contextualSpacing/>
      <w:outlineLvl w:val="1"/>
    </w:pPr>
    <w:rPr>
      <w:b/>
      <w:bCs/>
      <w:sz w:val="36"/>
      <w:szCs w:val="36"/>
    </w:rPr>
  </w:style>
  <w:style w:type="paragraph" w:styleId="Heading3">
    <w:name w:val="heading 3"/>
    <w:basedOn w:val="Normal"/>
    <w:next w:val="Normal"/>
    <w:link w:val="Heading3Char"/>
    <w:uiPriority w:val="99"/>
    <w:qFormat/>
    <w:rsid w:val="00E51807"/>
    <w:pPr>
      <w:keepNext/>
      <w:keepLines/>
      <w:spacing w:before="280" w:after="80"/>
      <w:contextualSpacing/>
      <w:outlineLvl w:val="2"/>
    </w:pPr>
    <w:rPr>
      <w:b/>
      <w:bCs/>
      <w:sz w:val="28"/>
      <w:szCs w:val="28"/>
    </w:rPr>
  </w:style>
  <w:style w:type="paragraph" w:styleId="Heading4">
    <w:name w:val="heading 4"/>
    <w:basedOn w:val="Normal"/>
    <w:next w:val="Normal"/>
    <w:link w:val="Heading4Char"/>
    <w:uiPriority w:val="99"/>
    <w:qFormat/>
    <w:rsid w:val="00E51807"/>
    <w:pPr>
      <w:keepNext/>
      <w:keepLines/>
      <w:spacing w:before="240" w:after="40"/>
      <w:contextualSpacing/>
      <w:outlineLvl w:val="3"/>
    </w:pPr>
    <w:rPr>
      <w:b/>
      <w:bCs/>
      <w:sz w:val="24"/>
      <w:szCs w:val="24"/>
    </w:rPr>
  </w:style>
  <w:style w:type="paragraph" w:styleId="Heading5">
    <w:name w:val="heading 5"/>
    <w:basedOn w:val="Normal"/>
    <w:next w:val="Normal"/>
    <w:link w:val="Heading5Char"/>
    <w:uiPriority w:val="99"/>
    <w:qFormat/>
    <w:rsid w:val="00E51807"/>
    <w:pPr>
      <w:keepNext/>
      <w:keepLines/>
      <w:spacing w:before="220" w:after="40"/>
      <w:contextualSpacing/>
      <w:outlineLvl w:val="4"/>
    </w:pPr>
    <w:rPr>
      <w:b/>
      <w:bCs/>
    </w:rPr>
  </w:style>
  <w:style w:type="paragraph" w:styleId="Heading6">
    <w:name w:val="heading 6"/>
    <w:basedOn w:val="Normal"/>
    <w:next w:val="Normal"/>
    <w:link w:val="Heading6Char"/>
    <w:uiPriority w:val="99"/>
    <w:qFormat/>
    <w:rsid w:val="00E51807"/>
    <w:pPr>
      <w:keepNext/>
      <w:keepLines/>
      <w:spacing w:before="200" w:after="40"/>
      <w:contextualSpacing/>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3C7"/>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B063C7"/>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B063C7"/>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063C7"/>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063C7"/>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063C7"/>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E51807"/>
    <w:pPr>
      <w:keepNext/>
      <w:keepLines/>
      <w:spacing w:before="480" w:after="120"/>
      <w:contextualSpacing/>
    </w:pPr>
    <w:rPr>
      <w:b/>
      <w:bCs/>
      <w:sz w:val="72"/>
      <w:szCs w:val="72"/>
    </w:rPr>
  </w:style>
  <w:style w:type="character" w:customStyle="1" w:styleId="TitleChar">
    <w:name w:val="Title Char"/>
    <w:basedOn w:val="DefaultParagraphFont"/>
    <w:link w:val="Title"/>
    <w:uiPriority w:val="10"/>
    <w:rsid w:val="00B063C7"/>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E51807"/>
    <w:pPr>
      <w:keepNext/>
      <w:keepLines/>
      <w:spacing w:before="360" w:after="80"/>
      <w:contextualSpacing/>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B063C7"/>
    <w:rPr>
      <w:rFonts w:asciiTheme="majorHAnsi" w:eastAsiaTheme="majorEastAsia" w:hAnsiTheme="majorHAnsi" w:cstheme="majorBidi"/>
      <w:color w:val="000000"/>
      <w:sz w:val="24"/>
      <w:szCs w:val="24"/>
    </w:rPr>
  </w:style>
  <w:style w:type="table" w:customStyle="1" w:styleId="Style">
    <w:name w:val="Style"/>
    <w:uiPriority w:val="99"/>
    <w:rsid w:val="00E51807"/>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Style2">
    <w:name w:val="Style2"/>
    <w:uiPriority w:val="99"/>
    <w:rsid w:val="00E51807"/>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E51807"/>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paragraph" w:styleId="NoSpacing">
    <w:name w:val="No Spacing"/>
    <w:uiPriority w:val="99"/>
    <w:qFormat/>
    <w:rsid w:val="00125884"/>
    <w:pPr>
      <w:widowControl w:val="0"/>
    </w:pPr>
    <w:rPr>
      <w:color w:val="000000"/>
    </w:rPr>
  </w:style>
  <w:style w:type="paragraph" w:styleId="ListParagraph">
    <w:name w:val="List Paragraph"/>
    <w:basedOn w:val="Normal"/>
    <w:uiPriority w:val="99"/>
    <w:qFormat/>
    <w:rsid w:val="001258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Pupil Premium Information</vt:lpstr>
    </vt:vector>
  </TitlesOfParts>
  <Company>Bushey Meads School</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Information</dc:title>
  <dc:creator>Turner Jeremy</dc:creator>
  <cp:lastModifiedBy>Sara</cp:lastModifiedBy>
  <cp:revision>2</cp:revision>
  <dcterms:created xsi:type="dcterms:W3CDTF">2017-08-03T11:52:00Z</dcterms:created>
  <dcterms:modified xsi:type="dcterms:W3CDTF">2017-08-03T11:52:00Z</dcterms:modified>
</cp:coreProperties>
</file>